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Chase Garrett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4"/>
        <w:gridCol w:w="916"/>
        <w:gridCol w:w="785"/>
        <w:gridCol w:w="608"/>
        <w:gridCol w:w="348"/>
        <w:gridCol w:w="839"/>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76.6208</w:t>
            </w:r>
            <w:r>
              <w:rPr>
                <w:rFonts w:ascii="Times;serif" w:hAnsi="Times;serif"/>
                <w:color w:val="008000"/>
                <w:position w:val="7"/>
                <w:sz w:val="16"/>
                <w:sz w:val="20"/>
                <w:shd w:fill="FFFFFF" w:val="clear"/>
              </w:rPr>
              <w:t>(2)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53,154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77.339</w:t>
            </w: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51,534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pursuant to Rule 10b5-1 Plan adopted on February 25,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$76.165 to $77.16.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$77.165 to $77.46.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2377"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3975</Characters>
  <CharactersWithSpaces>4635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